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tm2621571-1_4seq1.xml.htm"/>
      <w:bookmarkStart w:id="1" w:name="kstm26215711_4seq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Payorski Lilach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 HAHARASH STREET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TEL AVIV-JAFFA</w:t>
                  </w:r>
                </w:p>
              </w:tc>
              <w:tc>
                <w:tcPr>
                  <w:tcW w:w="1150" w:type="dxa"/>
                  <w:tcBorders/>
                  <w:vAlign w:val="center"/>
                </w:tcPr>
                <w:p>
                  <w:pPr>
                    <w:pStyle w:val="TableContents"/>
                    <w:bidi w:val="0"/>
                    <w:spacing w:before="0" w:after="283"/>
                    <w:jc w:val="left"/>
                    <w:rPr>
                      <w:sz w:val="4"/>
                      <w:szCs w:val="4"/>
                    </w:rPr>
                  </w:pPr>
                  <w:r>
                    <w:rPr>
                      <w:sz w:val="4"/>
                      <w:szCs w:val="4"/>
                    </w:rPr>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6761304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 xml:space="preserve">ISRAEL </w:t>
                  </w:r>
                </w:p>
              </w:tc>
            </w:tr>
          </w:tbl>
          <w:p>
            <w:pPr>
              <w:pStyle w:val="HorizontalLine"/>
              <w:pBdr>
                <w:bottom w:val="double" w:sz="2" w:space="0" w:color="808080"/>
              </w:pBdr>
              <w:bidi w:val="0"/>
              <w:spacing w:before="0" w:after="283"/>
              <w:jc w:val="left"/>
              <w:rPr/>
            </w:pPr>
            <w:r>
              <w:rPr/>
            </w:r>
          </w:p>
          <w:p>
            <w:pPr>
              <w:pStyle w:val="TableContents"/>
              <w:bidi w:val="0"/>
              <w:spacing w:before="0" w:after="283"/>
              <w:jc w:val="left"/>
              <w:rPr>
                <w:rFonts w:ascii="arial;helvetica;sans-serif" w:hAnsi="arial;helvetica;sans-serif"/>
                <w:sz w:val="20"/>
              </w:rPr>
            </w:pPr>
            <w:r>
              <w:rPr>
                <w:rFonts w:ascii="arial;helvetica;sans-serif" w:hAnsi="arial;helvetica;sans-serif"/>
                <w:sz w:val="20"/>
              </w:rPr>
              <w:t>(Country)</w:t>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Oddity Tech Ltd</w:t>
              </w:r>
            </w:hyperlink>
            <w:r>
              <w:rPr/>
              <w:t xml:space="preserve"> [ </w:t>
            </w:r>
            <w:r>
              <w:rPr>
                <w:rFonts w:ascii="Times;serif" w:hAnsi="Times;serif"/>
                <w:color w:val="0000FF"/>
                <w:sz w:val="24"/>
                <w:shd w:fill="FFFFFF" w:val="clear"/>
              </w:rPr>
              <w:t>ODD</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07/28/2026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6"/>
        <w:gridCol w:w="774"/>
        <w:gridCol w:w="602"/>
        <w:gridCol w:w="353"/>
        <w:gridCol w:w="861"/>
        <w:gridCol w:w="467"/>
        <w:gridCol w:w="680"/>
        <w:gridCol w:w="1184"/>
        <w:gridCol w:w="1014"/>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08"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8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Class A ordinary shares</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07/28/2026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4,596</w:t>
            </w:r>
          </w:p>
        </w:tc>
        <w:tc>
          <w:tcPr>
            <w:tcW w:w="46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8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0.00</w:t>
            </w:r>
          </w:p>
        </w:tc>
        <w:tc>
          <w:tcPr>
            <w:tcW w:w="118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15,513</w:t>
            </w:r>
          </w:p>
        </w:tc>
        <w:tc>
          <w:tcPr>
            <w:tcW w:w="10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464"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711"/>
        <w:gridCol w:w="606"/>
        <w:gridCol w:w="906"/>
        <w:gridCol w:w="801"/>
        <w:gridCol w:w="831"/>
        <w:gridCol w:w="801"/>
        <w:gridCol w:w="801"/>
        <w:gridCol w:w="936"/>
        <w:gridCol w:w="831"/>
        <w:gridCol w:w="846"/>
      </w:tblGrid>
      <w:tr>
        <w:trPr>
          <w:tblHeader w:val="true"/>
        </w:trPr>
        <w:tc>
          <w:tcPr>
            <w:tcW w:w="1246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31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63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1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3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07/28/2026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4,596</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4,596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07/29/2026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10,889</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Class A ordinary shares</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10,889</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10,889</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convert into Class A ordinary shares on a one-for-one basis.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award, granted on November 13, 2025, vested on July 28, 2026, the date immediately preceding the first Annual General Meeting of Shareholders of ODDITY Tech Ltd. (the "Issuer") following the grant date, pursuant to the Issuer's Non-Employee Director Compensation Policy.</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award will vest on the earlier of (i) the date immediately preceding the first Annual General Meeting of Shareholders of the Issuer following the grant date and (ii) the first anniversary of the grant date, subject to the reporting person continuing in service on the Issuer's Board of Directors through the applicable vesting date, pursuant to the Issuer's Non-Employee Director Compensation Policy.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Sarit Rosenberg, attorney-in-fact for Lilach Payorski</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07989" TargetMode="External"/><Relationship Id="rId5" Type="http://schemas.openxmlformats.org/officeDocument/2006/relationships/hyperlink" Target="http://www.sec.gov/cgi-bin/browse-edgar?action=getcompany&amp;CIK=000190708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719</Words>
  <Characters>3903</Characters>
  <CharactersWithSpaces>4530</CharactersWithSpaces>
  <Paragraphs>121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