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1598d1_6k.htm"/>
      <w:bookmarkStart w:id="1" w:name="kstm262159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r>
      <w:r>
        <w:rPr>
          <w:rFonts w:ascii="Times New Roman;Times;Serif" w:hAnsi="Times New Roman;Times;Serif"/>
          <w:b/>
          <w:i w:val="false"/>
          <w:caps/>
          <w:sz w:val="20"/>
        </w:rPr>
        <w:t>Pursuant to Rule 13a-16 or 15d-16</w:t>
        <w:b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ODDITY Tech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Aviv-Jaffa, 6761304,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E</w:t>
      </w:r>
      <w:r>
        <w:rPr>
          <w:rFonts w:ascii="Times New Roman;Times;Serif" w:hAnsi="Times New Roman;Times;Serif"/>
          <w:b/>
          <w:i w:val="false"/>
          <w:caps w:val="false"/>
          <w:smallCaps w:val="false"/>
          <w:sz w:val="20"/>
          <w:u w:val="single"/>
        </w:rPr>
        <w:t>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at 4:00 p.m. (Israel time), ODDITY Tech Ltd. (the “Company”) held its Annual General Meeting of Shareholders (the “Meeting”) at the offices of Herzog, Fox &amp; Neeman, 6 Yitzhak Sadeh St., Tel Aviv-Jaffa, 6777506,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shareholders voted upon and approved, by the applicable required majority in accordance with the Israeli Companies Law, 5759-1999, and the Company’s amended and restated articles of association, each of the proposals set forth in the Company’s notice and proxy statement related to the Meeting, which was attached as Exhibit 99.1 to the Company’s report of foreign private issuer on Form 6-K furnished to the Securities and Exchange Commission on June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of Foreign Private Issuer on Form 6-K (“Report”) is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333-296510</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333-274796</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425"/>
        <w:gridCol w:w="3485"/>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b/>
              </w:rPr>
            </w:pPr>
            <w:r>
              <w:rPr>
                <w:b/>
              </w:rPr>
              <w:t>ODDITY TECH LTD.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3485" w:type="dxa"/>
            <w:tcBorders>
              <w:bottom w:val="single" w:sz="8" w:space="0" w:color="000000"/>
            </w:tcBorders>
            <w:tcMar>
              <w:bottom w:w="28" w:type="dxa"/>
            </w:tcMar>
            <w:vAlign w:val="center"/>
          </w:tcPr>
          <w:p>
            <w:pPr>
              <w:pStyle w:val="TableContents"/>
              <w:bidi w:val="0"/>
              <w:spacing w:before="0" w:after="283"/>
              <w:jc w:val="left"/>
              <w:rPr/>
            </w:pPr>
            <w:r>
              <w:rPr/>
              <w:t>/s/ Lindsay Drucker Mann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Name: Lindsay Drucker Mann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Title: 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7085/000110465926070602/tm2616832d1_s8.htm" TargetMode="External"/><Relationship Id="rId3" Type="http://schemas.openxmlformats.org/officeDocument/2006/relationships/hyperlink" Target="https://www.sec.gov/Archives/edgar/data/1907085/000110465923105377/tm2327153d1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318</Words>
  <Characters>1695</Characters>
  <CharactersWithSpaces>2024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