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95d1_6k.htm"/>
      <w:bookmarkStart w:id="1" w:name="kstm262499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60" w:right="2448"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2460" w:right="2448"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2457"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49" w:right="2448"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42"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3194" w:right="3184" w:hanging="0"/>
        <w:jc w:val="center"/>
        <w:rPr>
          <w:rFonts w:ascii="Times New Roman;Times;Serif" w:hAnsi="Times New Roman;Times;Serif"/>
          <w:b/>
          <w:i w:val="false"/>
          <w:caps/>
          <w:sz w:val="20"/>
        </w:rPr>
      </w:pPr>
      <w:r>
        <w:rPr>
          <w:rFonts w:ascii="Times New Roman;Times;Serif" w:hAnsi="Times New Roman;Times;Serif"/>
          <w:b/>
          <w:i w:val="false"/>
          <w:caps/>
          <w:sz w:val="20"/>
        </w:rPr>
        <w:t>Pursuant to Rule 13a-16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97" w:right="349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3497" w:right="3499" w:hanging="0"/>
        <w:jc w:val="center"/>
        <w:rPr>
          <w:caps w:val="false"/>
          <w:smallCaps w:val="false"/>
        </w:rPr>
      </w:pPr>
      <w:r>
        <w:rPr>
          <w:caps w:val="false"/>
          <w:smallCaps w:val="false"/>
        </w:rPr>
        <w:t> </w:t>
      </w:r>
    </w:p>
    <w:p>
      <w:pPr>
        <w:pStyle w:val="TextBody"/>
        <w:bidi w:val="0"/>
        <w:spacing w:before="0" w:after="0"/>
        <w:ind w:left="3497" w:right="349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001-41745</w:t>
      </w:r>
    </w:p>
    <w:p>
      <w:pPr>
        <w:pStyle w:val="TextBody"/>
        <w:bidi w:val="0"/>
        <w:spacing w:before="0" w:after="0"/>
        <w:ind w:left="3497" w:right="3499" w:hanging="0"/>
        <w:jc w:val="center"/>
        <w:rPr>
          <w:caps w:val="false"/>
          <w:smallCaps w:val="false"/>
        </w:rPr>
      </w:pPr>
      <w:r>
        <w:rPr>
          <w:caps w:val="false"/>
          <w:smallCaps w:val="false"/>
        </w:rPr>
        <w:t> </w:t>
      </w:r>
    </w:p>
    <w:p>
      <w:pPr>
        <w:pStyle w:val="TextBody"/>
        <w:bidi w:val="0"/>
        <w:spacing w:before="0" w:after="0"/>
        <w:ind w:left="2457" w:right="2448"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ODDITY Tech Ltd.</w:t>
      </w:r>
    </w:p>
    <w:p>
      <w:pPr>
        <w:pStyle w:val="TextBody"/>
        <w:bidi w:val="0"/>
        <w:spacing w:before="0" w:after="0"/>
        <w:ind w:left="2443"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57"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HaHarash Street,</w:t>
      </w:r>
    </w:p>
    <w:p>
      <w:pPr>
        <w:pStyle w:val="TextBody"/>
        <w:bidi w:val="0"/>
        <w:spacing w:before="0" w:after="0"/>
        <w:ind w:left="2457"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Aviv-Jaffa, 6761304, Israel </w:t>
      </w:r>
    </w:p>
    <w:p>
      <w:pPr>
        <w:pStyle w:val="TextBody"/>
        <w:bidi w:val="0"/>
        <w:spacing w:before="0" w:after="0"/>
        <w:ind w:left="2457"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2448"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48"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E</w:t>
      </w:r>
      <w:r>
        <w:rPr>
          <w:rFonts w:ascii="Times New Roman;Times;Serif" w:hAnsi="Times New Roman;Times;Serif"/>
          <w:b/>
          <w:i w:val="false"/>
          <w:caps w:val="false"/>
          <w:smallCaps w:val="false"/>
          <w:sz w:val="20"/>
          <w:u w:val="single"/>
        </w:rPr>
        <w:t>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ODDITY Tech Ltd. (the “Company”) issued a press release announcing financial results for the second quarter ended June 30, 2026. A copy of the press release is furnished as Exhibit 99.1 to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Report of Foreign Private Issuer on Form 6-K (“Report”) (other than the portion of Exhibit 99.1 under the caption “Financial Outlook”) is incorporated by reference into the Company’s Registration Statements on Form S-8 (File Nos. </w:t>
      </w:r>
      <w:hyperlink r:id="rId2">
        <w:r>
          <w:rPr>
            <w:rStyle w:val="InternetLink"/>
            <w:rFonts w:ascii="Times New Roman;Times;Serif" w:hAnsi="Times New Roman;Times;Serif"/>
            <w:b w:val="false"/>
            <w:i w:val="false"/>
            <w:caps w:val="false"/>
            <w:smallCaps w:val="false"/>
            <w:sz w:val="20"/>
          </w:rPr>
          <w:t>333-296510</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333-274796</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48" w:right="2448"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205"/>
        <w:gridCol w:w="6110"/>
      </w:tblGrid>
      <w:tr>
        <w:trPr/>
        <w:tc>
          <w:tcPr>
            <w:tcW w:w="1205" w:type="dxa"/>
            <w:tcBorders/>
            <w:vAlign w:val="center"/>
          </w:tcPr>
          <w:p>
            <w:pPr>
              <w:pStyle w:val="TableContents"/>
              <w:bidi w:val="0"/>
              <w:spacing w:before="0" w:after="283"/>
              <w:jc w:val="left"/>
              <w:rPr>
                <w:b/>
                <w:u w:val="single"/>
              </w:rPr>
            </w:pPr>
            <w:r>
              <w:rPr>
                <w:b/>
                <w:u w:val="single"/>
              </w:rPr>
              <w:t>Exhibit No.</w:t>
            </w:r>
          </w:p>
        </w:tc>
        <w:tc>
          <w:tcPr>
            <w:tcW w:w="6110" w:type="dxa"/>
            <w:tcBorders/>
            <w:vAlign w:val="center"/>
          </w:tcPr>
          <w:p>
            <w:pPr>
              <w:pStyle w:val="TableContents"/>
              <w:bidi w:val="0"/>
              <w:spacing w:before="0" w:after="283"/>
              <w:jc w:val="both"/>
              <w:rPr>
                <w:b/>
                <w:u w:val="single"/>
              </w:rPr>
            </w:pPr>
            <w:r>
              <w:rPr>
                <w:b/>
                <w:u w:val="single"/>
              </w:rPr>
              <w:t>Description</w:t>
            </w:r>
          </w:p>
        </w:tc>
      </w:tr>
      <w:tr>
        <w:trPr/>
        <w:tc>
          <w:tcPr>
            <w:tcW w:w="120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left"/>
              <w:rPr/>
            </w:pPr>
            <w:hyperlink w:anchor="tm2624995d1_ex99-1.htm">
              <w:r>
                <w:rPr>
                  <w:rStyle w:val="InternetLink"/>
                </w:rPr>
                <w:t>99.1</w:t>
              </w:r>
            </w:hyperlink>
          </w:p>
        </w:tc>
        <w:tc>
          <w:tcPr>
            <w:tcW w:w="6110" w:type="dxa"/>
            <w:tcBorders/>
            <w:vAlign w:val="center"/>
          </w:tcPr>
          <w:p>
            <w:pPr>
              <w:pStyle w:val="TableContents"/>
              <w:bidi w:val="0"/>
              <w:spacing w:before="0" w:after="283"/>
              <w:jc w:val="both"/>
              <w:rPr/>
            </w:pPr>
            <w:hyperlink w:anchor="tm2624995d1_ex99-1.htm">
              <w:r>
                <w:rPr>
                  <w:rStyle w:val="InternetLink"/>
                </w:rPr>
                <w:t>Press Release of ODDITY Tech Ltd., dated September 9,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2456"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365"/>
        <w:gridCol w:w="3485"/>
      </w:tblGrid>
      <w:tr>
        <w:trPr/>
        <w:tc>
          <w:tcPr>
            <w:tcW w:w="7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b/>
              </w:rPr>
            </w:pPr>
            <w:r>
              <w:rPr>
                <w:b/>
              </w:rPr>
              <w:t>ODDITY TECH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485" w:type="dxa"/>
            <w:tcBorders>
              <w:bottom w:val="single" w:sz="8" w:space="0" w:color="000000"/>
            </w:tcBorders>
            <w:tcMar>
              <w:bottom w:w="28" w:type="dxa"/>
            </w:tcMar>
            <w:vAlign w:val="center"/>
          </w:tcPr>
          <w:p>
            <w:pPr>
              <w:pStyle w:val="TableContents"/>
              <w:bidi w:val="0"/>
              <w:spacing w:before="0" w:after="283"/>
              <w:jc w:val="left"/>
              <w:rPr/>
            </w:pPr>
            <w:r>
              <w:rPr/>
              <w:t>/s/ Lindsay Drucker Mann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Name: Lindsay Drucker Mann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Title: Global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right"/>
        <w:rPr/>
      </w:pPr>
      <w:bookmarkStart w:id="2" w:name="tm2624995d1_ex99-1.htm"/>
      <w:bookmarkStart w:id="3" w:name="kstm262499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0967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209675" cy="523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REPORTS SECOND QUARTER 2026 RESULTS, EXPECTS SEQUENTIAL REVENUE IMPROVEMENT IN THE THIRD QUARTER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Second quarter net revenue of $181 million, down approximately 25% year-over-year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Second quarter adjusted EBITDA of $13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Second quarter net income of $13 million and second quarter adjusted net income of $11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Strong liquidity position including cash, cash equivalents and investments of </w:t>
            </w:r>
            <w:r>
              <w:rPr>
                <w:rFonts w:ascii="Times New Roman;Times;Serif" w:hAnsi="Times New Roman;Times;Serif"/>
              </w:rPr>
              <w:t>$</w:t>
            </w:r>
            <w:r>
              <w:rPr>
                <w:rFonts w:ascii="Times New Roman;Times;Serif" w:hAnsi="Times New Roman;Times;Serif"/>
                <w:b/>
              </w:rPr>
              <w:t>561 million, and aggregate credit facilities of $350 million which remain undrawn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September 9, 2026 -- ODDITY Tech Ltd. (NASDAQ: ODD) today announced its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made progress during the quarter, including strong results for both SpoiledChild and METHODIQ,” said Oran Holtzman, ODDITY co-founder and CEO. “We remain hopeful that IL MAKIAGE is on track to achieve normalization and we continue to work in close partnership with our largest advertising partner to solve the technical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achieved key objectives during the second quarter,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Double-digit revenue growth for SpoiledChild during the second quarter. SpoiledChild is on track to grow at least 35% compared to 2025 and approach $350 million of net revenue in 2026.</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Strong early results for METHODIQ, which we now expect to deliver first-year net revenue ahead of SpoiledChild's first 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Ongoing development and expansion of the ODDITY Labs molecule discovery platform.</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Enhancing our capital structure, including repurchasing $80 million of our Class A ordinary shares and retiring $50 million of our zero coupon 2030 exchangeable notes, while maintaining a strong liquidity 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 far in the third quarter, we are seeing an improved year-over-year net revenue trend, driven by growth at SpoiledChild and METHODIQ and a moderating impact from the IL MAKIAGE account dislocation,” said Lindsay Drucker Mann, ODDITY Global CFO. “As a result, we now expect third quarter net revenue to decline approximately 5% year-over-year, a meaningful sequential improvement from the first 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Update on IL MAKIAGE Account Dislocation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continues to work closely with its largest advertising partner to solve the advertising algorithm dislocation at IL MAKIAGE. Since its last earnings call, ODDITY has implemented various tests and strategies to address signal distortion and retrain the algorithm. ODDITY continues to believe the dislocation is technical in nature and solvable, and is encouraged by the progress it is making toward normalization.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Buybacks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repurchased approximately 5.6 million Class A ordinary shares during the second quarter for approximately $80 million under the $200 million share buyback plan authorized in March 2026 (the “2026 Buyback Plan”). On a year-to-date basis, ODDITY has repurchased approximately 11.7 million Class A ordinary shares for approximately $163 million, including approximately $50 million of repurchases completed before the adoption of the 2026 Buyback Plan under ODDITY’s prior share buyback authorization, reducing total ordinary shares outstanding by approximately 20%. Approximately $87 million remains under the 2026 Buyback Plan, subject to market conditions and legal and regulatory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Exchangeable Note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ODDITY repurchased and retired $50 million aggregate principal amount of its 0% exchangeable notes due 2030 for approximately $35 million, leaving approximately $550 million aggregate principal amount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Fiscal 2026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for the second quarter ended June 30, 2026 are presented below in comparison to the second quarter ended June 30,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was $181 million compared to $241 million in the second quarter of 2025, a decrease of 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was $124 million compared to $174 million in the second quarter of 2025; gross margin was 68.7% compared to 72.3%.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was $13 million compared to $49 million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net income was $11 million compared to $57 million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was $13 million compared to $70 million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earnings per share was $0.24 compared to $0.79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diluted earnings per share was $0.20 compared to $0.92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investments were $561 million as of June 30, 2026.</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results have been rounded to the nearest million, unless indicated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actual results for the three months ended June 30, 2026 and the low and high end of our guidance range regarding our results for the second quarter of 2026 as issued on June 2, 2026.</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10" w:type="dxa"/>
        <w:tblLayout w:type="fixed"/>
        <w:tblCellMar>
          <w:top w:w="40" w:type="dxa"/>
          <w:left w:w="108" w:type="dxa"/>
          <w:bottom w:w="40" w:type="dxa"/>
          <w:right w:w="108" w:type="dxa"/>
        </w:tblCellMar>
      </w:tblPr>
      <w:tblGrid>
        <w:gridCol w:w="1520"/>
        <w:gridCol w:w="980"/>
        <w:gridCol w:w="1055"/>
        <w:gridCol w:w="1070"/>
      </w:tblGrid>
      <w:tr>
        <w:trPr/>
        <w:tc>
          <w:tcPr>
            <w:tcW w:w="15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3105"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 2026</w:t>
            </w:r>
          </w:p>
        </w:tc>
      </w:tr>
      <w:tr>
        <w:trPr/>
        <w:tc>
          <w:tcPr>
            <w:tcW w:w="1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b/>
              </w:rPr>
              <w:t>Actual</w:t>
            </w:r>
            <w:r>
              <w:rPr/>
              <w:t xml:space="preserve"> </w:t>
            </w:r>
            <w:r>
              <w:rPr>
                <w:b/>
              </w:rPr>
              <w:br/>
              <w:t>Results</w:t>
            </w:r>
          </w:p>
        </w:tc>
        <w:tc>
          <w:tcPr>
            <w:tcW w:w="1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b/>
              </w:rPr>
              <w:t>Guidance</w:t>
            </w:r>
            <w:r>
              <w:rPr/>
              <w:t xml:space="preserve"> </w:t>
            </w:r>
            <w:r>
              <w:rPr>
                <w:b/>
              </w:rPr>
              <w:br/>
              <w:t xml:space="preserve">Low End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b/>
              </w:rPr>
              <w:t>Guidance</w:t>
            </w:r>
            <w:r>
              <w:rPr/>
              <w:t xml:space="preserve"> </w:t>
            </w:r>
            <w:r>
              <w:rPr>
                <w:b/>
              </w:rPr>
              <w:br/>
              <w:t>High End</w:t>
            </w:r>
          </w:p>
        </w:tc>
      </w:tr>
      <w:tr>
        <w:trPr/>
        <w:tc>
          <w:tcPr>
            <w:tcW w:w="1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Revenue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c>
          <w:tcPr>
            <w:tcW w:w="1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 million</w:t>
            </w:r>
          </w:p>
        </w:tc>
        <w:tc>
          <w:tcPr>
            <w:tcW w:w="1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 million</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is providing the following guidance for the third quarter ending September 30,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to decline by approximately 5% year-over-year</w:t>
            </w:r>
          </w:p>
        </w:tc>
      </w:tr>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between $18 million and $20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is providing the following guidance for the full year ending December 31,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4"/>
        <w:gridCol w:w="9927"/>
      </w:tblGrid>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to decline by approximately 19% year-over-year</w:t>
            </w:r>
          </w:p>
        </w:tc>
      </w:tr>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between $30 million and $32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Adjusted net income, and Adjusted diluted earnings per share are non-GAAP financial measures. Please see the sections titled “Non-GAAP Financial Measures” and “Reconciliation of GAAP to Non-GAAP Measures” below for more information regarding ODDITY’s use of non-GAAP financial measures and reconciliations to the most directly comparable GAAP measures. ODDITY has not provided a quantitative reconciliation of its Adjusted EBITDA outlook to the corresponding net income measure because the quantification of certain items included in the calculation of GAAP net income cannot be calculated or predicted at this time without unreasonable efforts. ODDITY is unable to address the probable significance of the unavailable reconciling items, which could have a potentially unpredictable, and potentially significant, impact on its future 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outlook figures presented above are forward-looking statements that are subject to a variety of assumptions and estimates. Actual results may differ materially from ODDITY’s financial outlook as a result of, among other things, the factors described under “Forward-Looking Statements”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conference call to discuss ODDITY’s Q2 2026 financial and business results and outlook is scheduled for today, September 9, 2026, at 8:30 a.m. ET. To participate, please dial 1-877-407-9208 (US) or 1-201-493-6784 (international). To access the call, please reference the company name and call title: ODDITY Second Quarter 2026 Earnings Call. A webcast of the call will be accessible on the Investors section of ODDITY’s website at https://investors.oddity.com. A recording will be available shortly after the conclusion of the call. To access the replay, please dial 1-844-512-2921 (US) or 1-412-317-6671 (international). The access code for the replay is 13761986. An archive of the webcast will be available on the Investors section of ODDITY’s website for seven days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GAAP financial measures set forth in this press release, ODDITY has included the following non-GAAP financial measures: Adjusted EBITDA, Adjusted net income, Adjusted diluted earnings per share, and free cash flow. ODDITY believes these non-GAAP financial measures provide useful supplemental information to management and investors to help evaluate ODDITY’s business, measure its performance, identify trends, prepare financial projections, and make business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defines “Adjusted EBITDA” as net income (loss) before financial income, net, taxes on income, and depreciation and amortization as further adjusted to exclude share-based compensation expense and certain unusual or non-recurring items. ODDITY believes Adjusted EBITDA is useful for financial and operational decision-making and as a means to evaluate period-to-period comparisons. By excluding certain items that may not be indicative of its recurring core operating results, ODDITY believes that Adjusted EBITDA provides meaningful supplemental information regarding its performance. In addition,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defines “Adjusted net income” as net income (loss) adjusted for the impact of share-based compensation, certain unusual or non-recurring items, one-time tax gains/losses and the tax effect of non-GAAP adjustments. In addition, ODDITY defines “Adjusted diluted earnings per share” as Adjusted net income divided by diluted shares outstanding. ODDITY believes the presentations of Adjusted net income and Adjusted diluted earnings per share are useful because they are frequently used by analysts, investors and other interested parties to evaluate companies in our industry. Further, ODDITY believes these measures are helpful in highlighting trends in our operating results, because they exclude the impact of items that are outside the control of management or not reflective of our ongoing operations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defines “free cash flow” as net cash (used in) provided by operating activities less purchase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ODDITY’s non-GAAP financial measures should be considered in addition to, not as a substitute for or in isolation from, its financial results prepared in accordance with U.S. GAAP. Other companies, including companies in our industry, may calculate these measures differently or not at all, which reduces their usefulness as comparative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non-GAAP financial measures to the most directly comparable GAAP measures are included with the financial tables at the end of this release under the heading “Reconciliation of GAAP to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 some cases, these forward-looking statements can be identified by words or phrases such as “aim,” “anticipate,” “believe,” “contemplate,” “continue,” “could,” “estimate,” “expect,” “goal,” “hope,” “intend,” “may,” “objective,” “plan,” “potential,” “predict,” “project,” “shall,” “should,” “target,” “will,” “seek,” or similar words. The absence of these words does not mean that a statement is not forward-looking. These forward-looking statements address various matters, including ODDITY’s business strategy, market opportunity, ability to deliver superior products and experiences, ability to remedy the dislocation in our customer acquisition costs, potential long-term success and ODDITY’s outlook for the third quarter of 2026 and the full year ending December 31, 2026.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maintain the value of our brands; our ability to anticipate and respond to market trends and changes in consumer preferences; our ability to cost-effectively attract new customers (including by responding effectively to changes to algorithm-based bidding systems on key advertising platforms), retain existing customers and maintain or increase sales to those customers; our ability to maintain a strong base of engaged customers and content creators; the loss of suppliers or shortages or disruptions in the supply of raw materials or finished products; our ability to accurately forecast customer demand, manage our inventory, and plan for future expenses; our future rate of growth; competition; the fluctuating cost of raw materials; the illegal distribution and sale by third parties of counterfeit versions of our products or the unauthorized diversion by third parties of our products; changes in, or disruptions to, our shipping arrangements; our ability to manage our growth effectively; a general economic downturn or sudden disruption in business conditions; our ability to successfully introduce and effectively market new brands, or develop and introduce new, innovative, and updated products; foreign currency fluctuations; product returns; our ability to execute on our business strategy; our ability to maintain a high level of customer satisfaction; our ability to comply with and adapt to changes in laws and regulatory requirements applicable to our business, including with respect to regulation of the internet and e-commerce, evolving AI-technology related laws, tax laws, the anti-corruption, trade compliance, anti-money laundering, and terror finance and economic sanctions laws and regulations, consumer protection laws, and data privacy and security laws; failure of our products to comply with quality standards and risks related to product liability claims; trade restrictions; existing and potential tariffs; any data breach or other security incident of our information technology systems, or those of our third-party service providers or cyberattacks; risks related to online transactions and payment methods; any failure to obtain, maintain, protect, defend, or enforce our intellectual property rights; conditions in Israel and the Middle East generally, including as a result of geopolitical conflict; the concentration of our voting power as a result of our dual class structure; our status as a foreign private issuer; and other risk factors set forth in the section titled “Risk Factors” in our Annual Report on Form 20-F filed with the Securities and Exchange Commission on March 17, 2026,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Except as required by applicable law, we undertake no obligation to update or revise publicly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ODDITY: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is a consumer tech company that builds and scales digital-first brands to disrupt the offline-dominated beauty and wellness industries. The company serves over 70 million users with its AI-driven online platform, deploying data science to identify consumer needs, and developing solutions in the form of beauty and wellness products. ODDITY owns IL MAKIAGE, SpoiledChild, and METHODIQ. The company operates with business headquarters in New York City, an R&amp;D center in Tel Aviv, Israel, and a biotechnology lab in Boston.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press@oddity.com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investors@oddity.com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0"/>
        <w:gridCol w:w="60"/>
        <w:gridCol w:w="125"/>
        <w:gridCol w:w="695"/>
        <w:gridCol w:w="80"/>
        <w:gridCol w:w="60"/>
        <w:gridCol w:w="125"/>
        <w:gridCol w:w="695"/>
        <w:gridCol w:w="80"/>
        <w:gridCol w:w="60"/>
        <w:gridCol w:w="125"/>
        <w:gridCol w:w="695"/>
        <w:gridCol w:w="80"/>
        <w:gridCol w:w="60"/>
        <w:gridCol w:w="125"/>
        <w:gridCol w:w="695"/>
        <w:gridCol w:w="9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 months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378,457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261,916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375,200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taxes 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 basic (thousands)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 diluted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attributable to Class A and Class B Ordinary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3365"/>
        <w:gridCol w:w="60"/>
        <w:gridCol w:w="151"/>
        <w:gridCol w:w="843"/>
        <w:gridCol w:w="60"/>
        <w:gridCol w:w="60"/>
        <w:gridCol w:w="150"/>
        <w:gridCol w:w="1024"/>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535,994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935,123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1,137,792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t> </w:t>
      </w:r>
    </w:p>
    <w:p>
      <w:pPr>
        <w:pStyle w:val="TextBody"/>
        <w:pBdr>
          <w:top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4220"/>
        <w:gridCol w:w="60"/>
        <w:gridCol w:w="151"/>
        <w:gridCol w:w="843"/>
        <w:gridCol w:w="80"/>
        <w:gridCol w:w="60"/>
        <w:gridCol w:w="150"/>
        <w:gridCol w:w="1024"/>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Exchangeable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584,368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741,297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305,543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314,014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1,137,792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9860" w:type="dxa"/>
        <w:jc w:val="left"/>
        <w:tblInd w:w="0" w:type="dxa"/>
        <w:tblLayout w:type="fixed"/>
        <w:tblCellMar>
          <w:top w:w="0" w:type="dxa"/>
          <w:left w:w="0" w:type="dxa"/>
          <w:bottom w:w="0" w:type="dxa"/>
          <w:right w:w="0" w:type="dxa"/>
        </w:tblCellMar>
      </w:tblPr>
      <w:tblGrid>
        <w:gridCol w:w="7865"/>
        <w:gridCol w:w="60"/>
        <w:gridCol w:w="125"/>
        <w:gridCol w:w="755"/>
        <w:gridCol w:w="80"/>
        <w:gridCol w:w="60"/>
        <w:gridCol w:w="125"/>
        <w:gridCol w:w="695"/>
        <w:gridCol w:w="95"/>
      </w:tblGrid>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Cash flows from operating activities: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income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repurchase of 0% exchangeable senior notes due 2030 ("exchangeable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prepaid expenses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other 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software development costs and investment in other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marketable securities,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in 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exchangeable notes,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583,500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exchangeable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capped calls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and retirement of 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544,352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fluctuations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606,552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656,899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936" w:type="dxa"/>
        <w:jc w:val="left"/>
        <w:tblInd w:w="0" w:type="dxa"/>
        <w:tblLayout w:type="fixed"/>
        <w:tblCellMar>
          <w:top w:w="0" w:type="dxa"/>
          <w:left w:w="0" w:type="dxa"/>
          <w:bottom w:w="0" w:type="dxa"/>
          <w:right w:w="0" w:type="dxa"/>
        </w:tblCellMar>
      </w:tblPr>
      <w:tblGrid>
        <w:gridCol w:w="5180"/>
        <w:gridCol w:w="60"/>
        <w:gridCol w:w="132"/>
        <w:gridCol w:w="689"/>
        <w:gridCol w:w="84"/>
        <w:gridCol w:w="63"/>
        <w:gridCol w:w="132"/>
        <w:gridCol w:w="626"/>
        <w:gridCol w:w="80"/>
        <w:gridCol w:w="60"/>
        <w:gridCol w:w="125"/>
        <w:gridCol w:w="650"/>
        <w:gridCol w:w="80"/>
        <w:gridCol w:w="60"/>
        <w:gridCol w:w="125"/>
        <w:gridCol w:w="695"/>
        <w:gridCol w:w="9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 months ended</w:t>
              <w:br/>
            </w:r>
            <w:r>
              <w:rPr>
                <w:rFonts w:ascii="Times New Roman;Times;Serif" w:hAnsi="Times New Roman;Times;Serif"/>
                <w:b/>
                <w:i w:val="false"/>
                <w:caps w:val="false"/>
                <w:smallCaps w:val="false"/>
                <w:sz w:val="20"/>
                <w:bdr w:val="double" w:sz="4" w:space="1" w:color="FFFFFF"/>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3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35"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5"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and Adjusted EBITDA</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(16,533</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and Adjusted Net Income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(12,424</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adjustments</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earnings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diluted earnings per share</w:t>
            </w:r>
            <w:r>
              <w:rPr>
                <w:rFonts w:ascii="Times New Roman;Times;Serif" w:hAnsi="Times New Roman;Times;Serif"/>
                <w:b/>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net cash (used in) provided by operating activities to free cash flow</w:t>
      </w:r>
    </w:p>
    <w:p>
      <w:pPr>
        <w:pStyle w:val="TextBody"/>
        <w:bidi w:val="0"/>
        <w:spacing w:before="0" w:after="0"/>
        <w:ind w:left="0" w:right="0" w:hanging="0"/>
        <w:jc w:val="left"/>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4130"/>
        <w:gridCol w:w="60"/>
        <w:gridCol w:w="125"/>
        <w:gridCol w:w="545"/>
        <w:gridCol w:w="80"/>
        <w:gridCol w:w="60"/>
        <w:gridCol w:w="125"/>
        <w:gridCol w:w="695"/>
        <w:gridCol w:w="95"/>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99,433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Represents costs of certain legal matters and employee actions outside the ordinary course of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left"/>
              <w:rPr/>
            </w:pPr>
            <w:r>
              <w:rPr/>
              <w:t>Represents costs of certain legal matters and employee actions outside the ordinary course of business and, in the second quarter of 2026, a $13.539 million gain on repurchases of our exchangeable notes.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both"/>
              <w:rPr/>
            </w:pPr>
            <w:r>
              <w:rPr/>
              <w:t>Represents the tax impact of (a) the reconciling items above and (b) other discrete tax items in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both"/>
              <w:rPr/>
            </w:pPr>
            <w:r>
              <w:rPr/>
              <w:t>For the first half of 2026, the Weighted-average number of shares – diluted (thousands) used to calculate Adjusted diluted earnings per share is 55,927.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Financial Information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cash equivalents, and investments</w:t>
      </w:r>
    </w:p>
    <w:p>
      <w:pPr>
        <w:pStyle w:val="TextBody"/>
        <w:bidi w:val="0"/>
        <w:spacing w:before="0" w:after="0"/>
        <w:ind w:left="0" w:right="0" w:hanging="0"/>
        <w:jc w:val="left"/>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3470"/>
        <w:gridCol w:w="60"/>
        <w:gridCol w:w="151"/>
        <w:gridCol w:w="843"/>
        <w:gridCol w:w="60"/>
        <w:gridCol w:w="60"/>
        <w:gridCol w:w="178"/>
        <w:gridCol w:w="996"/>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restricted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373,741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and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776,020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revenue by sales channel</w:t>
      </w:r>
    </w:p>
    <w:p>
      <w:pPr>
        <w:pStyle w:val="TextBody"/>
        <w:bidi w:val="0"/>
        <w:spacing w:before="0" w:after="0"/>
        <w:ind w:left="0" w:right="0" w:hanging="0"/>
        <w:jc w:val="left"/>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3215"/>
        <w:gridCol w:w="60"/>
        <w:gridCol w:w="125"/>
        <w:gridCol w:w="695"/>
        <w:gridCol w:w="185"/>
        <w:gridCol w:w="60"/>
        <w:gridCol w:w="125"/>
        <w:gridCol w:w="695"/>
        <w:gridCol w:w="185"/>
        <w:gridCol w:w="60"/>
        <w:gridCol w:w="125"/>
        <w:gridCol w:w="695"/>
        <w:gridCol w:w="185"/>
        <w:gridCol w:w="60"/>
        <w:gridCol w:w="125"/>
        <w:gridCol w:w="695"/>
        <w:gridCol w:w="20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0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double" w:sz="6"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double" w:sz="6"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double" w:sz="6"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double" w:sz="6"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direct-to-consumer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367,113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496,214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 of net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(Israel retail, marketing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 of 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180,517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241,140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378,457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509,216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ODDITY does not sell to resellers or distributors. Online direct-to-consumer revenues are generated directly by ODDITY through its online platform only (i.e., ILMAKIAGE.com, SpoiledChild.com, and METHODIQ.com). All revenue in Israel, including revenue generated in stores, online, and from beauty academies, is included in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7085/000110465926070602/tm2616832d1_s8.htm" TargetMode="External"/><Relationship Id="rId3" Type="http://schemas.openxmlformats.org/officeDocument/2006/relationships/hyperlink" Target="https://www.sec.gov/Archives/edgar/data/1907085/000110465923105377/tm2327153d1_s8.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3806</Words>
  <Characters>21360</Characters>
  <CharactersWithSpaces>25781</CharactersWithSpaces>
  <Paragraphs>2055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