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4975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75225"/>
                    </a:xfrm>
                    <a:prstGeom prst="rect">
                      <a:avLst/>
                    </a:prstGeom>
                    <a:noFill/>
                  </pic:spPr>
                </pic:pic>
              </a:graphicData>
            </a:graphic>
          </wp:anchor>
        </w:drawing>
      </w:r>
    </w:p>
    <w:p>
      <w:pPr>
        <w:spacing w:after="0" w:line="125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Drucker Mann Lindsay</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 GREENE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Oddity Tech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ODD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05/31/2026</w:t>
      </w:r>
    </w:p>
    <w:p>
      <w:pPr>
        <w:spacing w:after="0" w:line="20" w:lineRule="exact"/>
        <w:rPr>
          <w:sz w:val="24"/>
          <w:szCs w:val="24"/>
          <w:color w:val="auto"/>
        </w:rPr>
      </w:pPr>
      <w:r>
        <w:rPr>
          <w:sz w:val="24"/>
          <w:szCs w:val="24"/>
          <w:color w:val="auto"/>
        </w:rPr>
        <w:br w:type="column"/>
      </w:r>
    </w:p>
    <w:p>
      <w:pPr>
        <w:ind w:left="6" w:right="620" w:hanging="6"/>
        <w:spacing w:after="0" w:line="260"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208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46"/>
        <w:spacing w:after="0"/>
        <w:rPr>
          <w:sz w:val="20"/>
          <w:szCs w:val="20"/>
          <w:color w:val="auto"/>
        </w:rPr>
      </w:pPr>
      <w:r>
        <w:rPr>
          <w:rFonts w:ascii="Times New Roman" w:cs="Times New Roman" w:eastAsia="Times New Roman" w:hAnsi="Times New Roman"/>
          <w:sz w:val="17"/>
          <w:szCs w:val="17"/>
          <w:color w:val="0000FF"/>
        </w:rPr>
        <w:t>Global Chief Financial Officer</w:t>
      </w:r>
    </w:p>
    <w:p>
      <w:pPr>
        <w:spacing w:after="0" w:line="316"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7"/>
            <w:vMerge w:val="restart"/>
          </w:tcPr>
          <w:p>
            <w:pPr>
              <w:jc w:val="center"/>
              <w:ind w:right="17"/>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05/31/2026</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23,929</w:t>
            </w: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87,312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9,603</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77,709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23,929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05/31/2026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6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23,929</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line="143" w:lineRule="exact"/>
              <w:rPr>
                <w:sz w:val="20"/>
                <w:szCs w:val="20"/>
                <w:color w:val="auto"/>
              </w:rPr>
            </w:pPr>
            <w:r>
              <w:rPr>
                <w:rFonts w:ascii="Times New Roman" w:cs="Times New Roman" w:eastAsia="Times New Roman" w:hAnsi="Times New Roman"/>
                <w:sz w:val="13"/>
                <w:szCs w:val="13"/>
                <w:color w:val="0000FF"/>
              </w:rPr>
              <w:t>789,664</w:t>
            </w: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-2021840</wp:posOffset>
            </wp:positionV>
            <wp:extent cx="29210" cy="2026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69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Class A ordinary shares sold in connection with the vesting of Restricted Stock Units ("RSUs") solely to satisfy statutory tax withholding obligations incurred upon vesting.</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Class A ordinary shares on a one-for-one basis. Three installments of the award have vested, and the remainder will vest in approximately equal installments on the last day of every calendar month, with the last installment to vest on February 28, 2029.</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Sarit Rosenberg,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1252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Lindsay Drucker</w:t>
      </w:r>
      <w:r>
        <w:rPr>
          <w:sz w:val="20"/>
          <w:szCs w:val="20"/>
          <w:color w:val="auto"/>
        </w:rPr>
        <w:tab/>
      </w:r>
      <w:r>
        <w:rPr>
          <w:rFonts w:ascii="Times New Roman" w:cs="Times New Roman" w:eastAsia="Times New Roman" w:hAnsi="Times New Roman"/>
          <w:sz w:val="16"/>
          <w:szCs w:val="16"/>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887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249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9555"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8127" TargetMode="External"/><Relationship Id="rId14" Type="http://schemas.openxmlformats.org/officeDocument/2006/relationships/hyperlink" Target="http://www.sec.gov/cgi-bin/browse-edgar?action=getcompany&amp;CIK=0001907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2026-06-01T19:37:02Z</dcterms:created>
  <dcterms:modified xsi:type="dcterms:W3CDTF">2026-06-01T19:37:02Z</dcterms:modified>
</cp:coreProperties>
</file>