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1436d1_6k.htm"/>
      <w:bookmarkStart w:id="1" w:name="kstm253143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Pursuant to Rule 13a-16 or 15d-16 </w:t>
        <w:br/>
        <w:t>under the Securities Exchange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November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ODDITY Tech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HaHarash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Aviv-Jaffa, 6761304,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ODDITY Tech Ltd. (the “Company”) issued a press release announcing financial results for the third quarter ended September 30, 2025. A copy of the press release is furnished as Exhibit 99.1 to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(“Report”) (other than the portion of Exhibit 99.1 under the caption “Financial Outlook”) is incorporated by reference into the Company’s Registration Statement on Form S-8 (File No. 333-274796)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190"/>
        <w:gridCol w:w="1205"/>
      </w:tblGrid>
      <w:tr>
        <w:trPr/>
        <w:tc>
          <w:tcPr>
            <w:tcW w:w="1190" w:type="dxa"/>
            <w:tcBorders/>
            <w:vAlign w:val="center"/>
          </w:tcPr>
          <w:p>
            <w:pPr>
              <w:pStyle w:val="TableContents"/>
              <w:bidi w:val="0"/>
              <w:spacing w:before="0" w:after="283"/>
              <w:jc w:val="left"/>
              <w:rPr>
                <w:b/>
                <w:u w:val="single"/>
              </w:rPr>
            </w:pPr>
            <w:r>
              <w:rPr>
                <w:b/>
                <w:u w:val="single"/>
              </w:rPr>
              <w:t>Exhibit No.</w:t>
            </w:r>
          </w:p>
        </w:tc>
        <w:tc>
          <w:tcPr>
            <w:tcW w:w="1205" w:type="dxa"/>
            <w:tcBorders/>
            <w:vAlign w:val="center"/>
          </w:tcPr>
          <w:p>
            <w:pPr>
              <w:pStyle w:val="TableContents"/>
              <w:bidi w:val="0"/>
              <w:spacing w:before="0" w:after="283"/>
              <w:jc w:val="both"/>
              <w:rPr>
                <w:b/>
                <w:u w:val="single"/>
              </w:rPr>
            </w:pPr>
            <w:r>
              <w:rPr>
                <w:b/>
                <w:u w:val="single"/>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455"/>
        <w:gridCol w:w="6230"/>
      </w:tblGrid>
      <w:tr>
        <w:trPr/>
        <w:tc>
          <w:tcPr>
            <w:tcW w:w="455" w:type="dxa"/>
            <w:tcBorders/>
            <w:vAlign w:val="center"/>
          </w:tcPr>
          <w:p>
            <w:pPr>
              <w:pStyle w:val="TableContents"/>
              <w:bidi w:val="0"/>
              <w:spacing w:before="0" w:after="283"/>
              <w:jc w:val="left"/>
              <w:rPr/>
            </w:pPr>
            <w:hyperlink w:anchor="tm2531436d1_ex99-1.htm">
              <w:r>
                <w:rPr>
                  <w:rStyle w:val="InternetLink"/>
                </w:rPr>
                <w:t>99.1</w:t>
              </w:r>
            </w:hyperlink>
          </w:p>
        </w:tc>
        <w:tc>
          <w:tcPr>
            <w:tcW w:w="6230" w:type="dxa"/>
            <w:tcBorders/>
            <w:vAlign w:val="center"/>
          </w:tcPr>
          <w:p>
            <w:pPr>
              <w:pStyle w:val="TableContents"/>
              <w:bidi w:val="0"/>
              <w:spacing w:before="0" w:after="283"/>
              <w:jc w:val="both"/>
              <w:rPr/>
            </w:pPr>
            <w:hyperlink w:anchor="tm2531436d1_ex99-1.htm">
              <w:r>
                <w:rPr>
                  <w:rStyle w:val="InternetLink"/>
                </w:rPr>
                <w:t>Press Release of ODDITY Tech Ltd., dated November 19,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80" w:type="dxa"/>
        <w:jc w:val="left"/>
        <w:tblInd w:w="0" w:type="dxa"/>
        <w:tblLayout w:type="fixed"/>
        <w:tblCellMar>
          <w:top w:w="0" w:type="dxa"/>
          <w:left w:w="0" w:type="dxa"/>
          <w:bottom w:w="0" w:type="dxa"/>
          <w:right w:w="0" w:type="dxa"/>
        </w:tblCellMar>
      </w:tblPr>
      <w:tblGrid>
        <w:gridCol w:w="75"/>
        <w:gridCol w:w="320"/>
        <w:gridCol w:w="590"/>
        <w:gridCol w:w="2495"/>
      </w:tblGrid>
      <w:tr>
        <w:trPr/>
        <w:tc>
          <w:tcPr>
            <w:tcW w:w="75" w:type="dxa"/>
            <w:tcBorders/>
            <w:vAlign w:val="center"/>
          </w:tcPr>
          <w:p>
            <w:pPr>
              <w:pStyle w:val="TableContents"/>
              <w:bidi w:val="0"/>
              <w:spacing w:before="0" w:after="283"/>
              <w:jc w:val="left"/>
              <w:rPr/>
            </w:pPr>
            <w:r>
              <w:rPr/>
              <w:t> </w:t>
            </w:r>
          </w:p>
        </w:tc>
        <w:tc>
          <w:tcPr>
            <w:tcW w:w="340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tc>
      </w:tr>
      <w:tr>
        <w:trPr/>
        <w:tc>
          <w:tcPr>
            <w:tcW w:w="75" w:type="dxa"/>
            <w:tcBorders/>
            <w:vAlign w:val="center"/>
          </w:tcPr>
          <w:p>
            <w:pPr>
              <w:pStyle w:val="TableContents"/>
              <w:bidi w:val="0"/>
              <w:spacing w:before="0" w:after="283"/>
              <w:jc w:val="left"/>
              <w:rPr/>
            </w:pPr>
            <w:r>
              <w:rPr/>
              <w:t> </w:t>
            </w:r>
          </w:p>
        </w:tc>
        <w:tc>
          <w:tcPr>
            <w:tcW w:w="34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Lindsay Drucker Mann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Drucker Mann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31436d1_ex99-1.htm"/>
      <w:bookmarkStart w:id="3" w:name="kstm2531436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4050" cy="2787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4050" cy="27876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REPORTS RECORD THIRD QUARTER RESULTS, RAISES FULL YEAR OUTLOOK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Third quarter net revenue of $148 million, up 24% year-over-year</w:t>
            </w:r>
          </w:p>
        </w:tc>
      </w:tr>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Nine-month net revenue of $657 million, up 26% year-over-year</w:t>
            </w:r>
          </w:p>
        </w:tc>
      </w:tr>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Third quarter adjusted EBITDA of $29 million</w:t>
            </w:r>
          </w:p>
        </w:tc>
      </w:tr>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Nine-month adjusted EBITDA of $151 million</w:t>
            </w:r>
          </w:p>
        </w:tc>
      </w:tr>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Third quarter net income of $18 million and third quarter adjusted net income of $25 million</w:t>
            </w:r>
          </w:p>
        </w:tc>
      </w:tr>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Nine-month operating cash flow of $93 million and free cash flow of $90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November 19, 2025 -- ODDITY Tech Ltd. (NASDAQ: ODD) today announced its financial results for the third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ODDITY delivered strong third quarter results, including financial performance that once again exceeded our guidance across revenue, profit, and earnings per share,” said Oran Holtzman, ODDITY co-founder and CEO. “We are well positioned for a strong finish in 2025 with multiple engines to drive future growth, and we continue to invest in new brands, ODDITY Labs, and tech innovation.”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achieved a major milestone this week with the official launch of our newest brand: METHODIQ,” Holtzman continued. “Our goal with METHODIQ is to transform a broken medical care system with precise treatments, pioneering technology, and the highest standard of care. This is the next frontier for ODDITY, harnessing the power of our data and technology platform to offer medical grade solutions for our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achieved key objectives during the third quarter, which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Exceeding financial guidance across all metrics for the third quarter ended September 30,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Double-digit online revenue growth for both IL MAKIAGE and SpoiledChild.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successful soft launch of METHODIQ in the third quarter and formal launch in November.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Ongoing development and expansion of the ODDITY LABS molecule discovery platform.</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strong cash position on our balance sheet, including cash, cash equivalents and investments of $793 million and undrawn credit facilities of $200 million as of September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with our financial results for the third quarter, which beat our guidance on revenue, gross margin, adjusted EBITDA, and adjusted EPS,” said Lindsay Drucker Mann, ODDITY Global CFO. “Our solid start to the fourth quarter gives us confidence to once again raise our full year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Third Quarter Fiscal 2025 Financial Highlights</w:t>
      </w:r>
      <w:r>
        <w:rPr>
          <w:rFonts w:ascii="Times New Roman;Times;Serif" w:hAnsi="Times New Roman;Times;Serif"/>
          <w:b/>
          <w:i w:val="false"/>
          <w:caps w:val="false"/>
          <w:smallCaps w:val="false"/>
          <w:position w:val="7"/>
          <w:sz w:val="16"/>
          <w:sz w:val="20"/>
          <w:u w:val="single"/>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for the third quarter ended September 30, 2025 are presented below in comparison to the same period in the prior year: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was $148 million compared to $119 million in the third quarter of 2024, representing a 24% year-over-year increase.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was $106 million compared to $83 million in the third quarter of 2024, representing a 27% year-over-year increase. Gross margin was 71.6%, increasing by 170 bps compared to gross margin of 69.9% in the third quarter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Financial results have been rounded to the nearest million, unless indicated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was $18 million compared to $18 million in the third quarter of 2024. Net income margin was 12.0% compared to 14.9% in the third quarter of 2024.</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net income was $25 million compared to $20 million in the third quarter of 2024, representing a 26% year-over-year increase. Adjusted net income margin was 16.9% compared to 16.7% in the third quarter of 2024.</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was $29 million compared to $25 million in the third quarter of 2024, representing a 16% year-over-year increase. Adjusted EBITDA margin was 19.5%, decreasing by 140 bps compared to adjusted EBITDA margin of 20.9% in the third quarter of 2024.</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EPS were $0.28 for the third quarter of 2025 compared to $0.29 in the third quarter of 2024. Adjusted diluted EPS were $0.40 for the third quarter of 2025 compared to $0.32 in the third quarter of 2024.</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restricted cash, short-term deposits and marketable securities were $793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actual results for the three months ended September 30, 2025 and the low and high end of our guidance range regarding our results for the third quarter of 2025 as issued on August 4, 2025.</w:t>
      </w:r>
    </w:p>
    <w:p>
      <w:pPr>
        <w:pStyle w:val="TextBody"/>
        <w:bidi w:val="0"/>
        <w:spacing w:before="0" w:after="0"/>
        <w:ind w:left="0" w:right="0" w:hanging="0"/>
        <w:jc w:val="left"/>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1805"/>
        <w:gridCol w:w="60"/>
        <w:gridCol w:w="1105"/>
        <w:gridCol w:w="61"/>
        <w:gridCol w:w="1105"/>
        <w:gridCol w:w="61"/>
        <w:gridCol w:w="1121"/>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3"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September 30, 2025</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Actual </w:t>
              <w:br/>
              <w:t>Results</w:t>
            </w:r>
          </w:p>
        </w:tc>
        <w:tc>
          <w:tcPr>
            <w:tcW w:w="61" w:type="dxa"/>
            <w:tcBorders/>
            <w:vAlign w:val="center"/>
          </w:tcPr>
          <w:p>
            <w:pPr>
              <w:pStyle w:val="TableContents"/>
              <w:bidi w:val="0"/>
              <w:spacing w:before="0" w:after="283"/>
              <w:jc w:val="left"/>
              <w:rPr/>
            </w:pPr>
            <w:r>
              <w:rPr/>
              <w:t> </w:t>
            </w:r>
          </w:p>
        </w:tc>
        <w:tc>
          <w:tcPr>
            <w:tcW w:w="11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Guidance</w:t>
              <w:br/>
              <w:t>Low End</w:t>
            </w:r>
          </w:p>
        </w:tc>
        <w:tc>
          <w:tcPr>
            <w:tcW w:w="61" w:type="dxa"/>
            <w:tcBorders/>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Guidance </w:t>
              <w:br/>
              <w:t>High End</w:t>
            </w:r>
          </w:p>
        </w:tc>
      </w:tr>
      <w:tr>
        <w:trPr/>
        <w:tc>
          <w:tcPr>
            <w:tcW w:w="1805" w:type="dxa"/>
            <w:tcBorders/>
            <w:shd w:fill="CCEEFF" w:val="clear"/>
            <w:vAlign w:val="center"/>
          </w:tcPr>
          <w:p>
            <w:pPr>
              <w:pStyle w:val="TableContents"/>
              <w:bidi w:val="0"/>
              <w:spacing w:before="0" w:after="283"/>
              <w:jc w:val="left"/>
              <w:rPr>
                <w:sz w:val="20"/>
              </w:rPr>
            </w:pPr>
            <w:r>
              <w:rPr>
                <w:sz w:val="20"/>
              </w:rPr>
              <w:t>Net Revenue</w:t>
            </w:r>
          </w:p>
        </w:tc>
        <w:tc>
          <w:tcPr>
            <w:tcW w:w="6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center"/>
              <w:rPr>
                <w:sz w:val="20"/>
              </w:rPr>
            </w:pPr>
            <w:r>
              <w:rPr>
                <w:sz w:val="20"/>
              </w:rPr>
              <w:t>$148 million</w:t>
            </w:r>
          </w:p>
        </w:tc>
        <w:tc>
          <w:tcPr>
            <w:tcW w:w="61"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center"/>
              <w:rPr>
                <w:sz w:val="20"/>
              </w:rPr>
            </w:pPr>
            <w:r>
              <w:rPr>
                <w:sz w:val="20"/>
              </w:rPr>
              <w:t>$144 million</w:t>
            </w:r>
          </w:p>
        </w:tc>
        <w:tc>
          <w:tcPr>
            <w:tcW w:w="61"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center"/>
              <w:rPr>
                <w:sz w:val="20"/>
              </w:rPr>
            </w:pPr>
            <w:r>
              <w:rPr>
                <w:sz w:val="20"/>
              </w:rPr>
              <w:t>$146 million</w:t>
            </w:r>
          </w:p>
        </w:tc>
      </w:tr>
      <w:tr>
        <w:trPr/>
        <w:tc>
          <w:tcPr>
            <w:tcW w:w="1805" w:type="dxa"/>
            <w:tcBorders/>
            <w:shd w:fill="FFFFFF" w:val="clear"/>
            <w:vAlign w:val="center"/>
          </w:tcPr>
          <w:p>
            <w:pPr>
              <w:pStyle w:val="TableContents"/>
              <w:bidi w:val="0"/>
              <w:spacing w:before="0" w:after="283"/>
              <w:jc w:val="left"/>
              <w:rPr>
                <w:sz w:val="20"/>
              </w:rPr>
            </w:pPr>
            <w:r>
              <w:rPr>
                <w:sz w:val="20"/>
              </w:rPr>
              <w:t>Gross Margin</w:t>
            </w:r>
          </w:p>
        </w:tc>
        <w:tc>
          <w:tcPr>
            <w:tcW w:w="6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center"/>
              <w:rPr>
                <w:sz w:val="20"/>
              </w:rPr>
            </w:pPr>
            <w:r>
              <w:rPr>
                <w:sz w:val="20"/>
              </w:rPr>
              <w:t>71.6%</w:t>
            </w:r>
          </w:p>
        </w:tc>
        <w:tc>
          <w:tcPr>
            <w:tcW w:w="61"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center"/>
              <w:rPr>
                <w:sz w:val="20"/>
              </w:rPr>
            </w:pPr>
            <w:r>
              <w:rPr>
                <w:sz w:val="20"/>
              </w:rPr>
              <w:t>68.0%</w:t>
            </w:r>
          </w:p>
        </w:tc>
        <w:tc>
          <w:tcPr>
            <w:tcW w:w="61"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center"/>
              <w:rPr>
                <w:sz w:val="20"/>
              </w:rPr>
            </w:pPr>
            <w:r>
              <w:rPr>
                <w:sz w:val="20"/>
              </w:rPr>
              <w:t>68.0%</w:t>
            </w:r>
          </w:p>
        </w:tc>
      </w:tr>
      <w:tr>
        <w:trPr/>
        <w:tc>
          <w:tcPr>
            <w:tcW w:w="1805" w:type="dxa"/>
            <w:tcBorders/>
            <w:shd w:fill="CCEEFF" w:val="clear"/>
            <w:vAlign w:val="center"/>
          </w:tcPr>
          <w:p>
            <w:pPr>
              <w:pStyle w:val="TableContents"/>
              <w:bidi w:val="0"/>
              <w:spacing w:before="0" w:after="283"/>
              <w:jc w:val="left"/>
              <w:rPr>
                <w:sz w:val="20"/>
              </w:rPr>
            </w:pPr>
            <w:r>
              <w:rPr>
                <w:sz w:val="20"/>
              </w:rPr>
              <w:t>Adjusted EBITDA</w:t>
            </w:r>
          </w:p>
        </w:tc>
        <w:tc>
          <w:tcPr>
            <w:tcW w:w="6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center"/>
              <w:rPr>
                <w:sz w:val="20"/>
              </w:rPr>
            </w:pPr>
            <w:r>
              <w:rPr>
                <w:sz w:val="20"/>
              </w:rPr>
              <w:t>$29 million</w:t>
            </w:r>
          </w:p>
        </w:tc>
        <w:tc>
          <w:tcPr>
            <w:tcW w:w="61"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center"/>
              <w:rPr>
                <w:sz w:val="20"/>
              </w:rPr>
            </w:pPr>
            <w:r>
              <w:rPr>
                <w:sz w:val="20"/>
              </w:rPr>
              <w:t>$26 million</w:t>
            </w:r>
          </w:p>
        </w:tc>
        <w:tc>
          <w:tcPr>
            <w:tcW w:w="61"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center"/>
              <w:rPr>
                <w:sz w:val="20"/>
              </w:rPr>
            </w:pPr>
            <w:r>
              <w:rPr>
                <w:sz w:val="20"/>
              </w:rPr>
              <w:t>$28 million</w:t>
            </w:r>
          </w:p>
        </w:tc>
      </w:tr>
      <w:tr>
        <w:trPr/>
        <w:tc>
          <w:tcPr>
            <w:tcW w:w="1805" w:type="dxa"/>
            <w:tcBorders/>
            <w:shd w:fill="FFFFFF" w:val="clear"/>
            <w:vAlign w:val="center"/>
          </w:tcPr>
          <w:p>
            <w:pPr>
              <w:pStyle w:val="TableContents"/>
              <w:bidi w:val="0"/>
              <w:spacing w:before="0" w:after="283"/>
              <w:jc w:val="left"/>
              <w:rPr>
                <w:sz w:val="20"/>
              </w:rPr>
            </w:pPr>
            <w:r>
              <w:rPr>
                <w:sz w:val="20"/>
              </w:rPr>
              <w:t>Adjusted Diluted EPS</w:t>
            </w:r>
          </w:p>
        </w:tc>
        <w:tc>
          <w:tcPr>
            <w:tcW w:w="6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center"/>
              <w:rPr>
                <w:sz w:val="20"/>
              </w:rPr>
            </w:pPr>
            <w:r>
              <w:rPr>
                <w:sz w:val="20"/>
              </w:rPr>
              <w:t>$0.40</w:t>
            </w:r>
          </w:p>
        </w:tc>
        <w:tc>
          <w:tcPr>
            <w:tcW w:w="61"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center"/>
              <w:rPr>
                <w:sz w:val="20"/>
              </w:rPr>
            </w:pPr>
            <w:r>
              <w:rPr>
                <w:sz w:val="20"/>
              </w:rPr>
              <w:t>$0.33</w:t>
            </w:r>
          </w:p>
        </w:tc>
        <w:tc>
          <w:tcPr>
            <w:tcW w:w="61"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center"/>
              <w:rPr>
                <w:sz w:val="20"/>
              </w:rPr>
            </w:pPr>
            <w:r>
              <w:rPr>
                <w:sz w:val="20"/>
              </w:rPr>
              <w:t>$0.36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is raising its financial outlook for the full year ending December 31,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between $806 million and $809 million, representing year-over-year growth between 24% and 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 of approximately 72.5%.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between $161 million and $163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diluted EPS between $2.10 and $2.12. This assumes an effective tax rate of approximately 20%.</w:t>
            </w:r>
          </w:p>
        </w:tc>
      </w:tr>
    </w:tbl>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1805"/>
        <w:gridCol w:w="60"/>
        <w:gridCol w:w="2150"/>
        <w:gridCol w:w="60"/>
        <w:gridCol w:w="195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FY2025 Outlook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FY2025 Outlook</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$806-809 million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$799-804 million</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$161-163 million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$160-162 million</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is providing the following guidance for the fourth quarter ending December 31,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between $149 million and $152 million, representing year-over-year growth between 21% and 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 of approximately 69%.</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between $10 million and $12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diluted EPS between $0.11 and $0.13. This assumes an effective tax rate of approximately 25%.</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805"/>
        <w:gridCol w:w="60"/>
        <w:gridCol w:w="149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2025 Outlook</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$149-152 million</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million</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$0.11-0.13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Adjusted EBITDA margin, Adjusted net income, Adjusted net income margin, Adjusted diluted EPS and free cash flow are non-GAAP financial measures. Please see the sections titled “Non-GAAP Financial Measures” and “Reconciliations of GAAP to Non-GAAP Measures” below for more information regarding ODDITY’s use of non-GAAP financial measures and reconciliations to the most directly comparable GAAP measures. ODDITY has not provided a quantitative reconciliation of its Adjusted EBITDA and Adjusted diluted EPS outlook to the corresponding net income and diluted EPS GAAP measures, because the quantification of certain items included in the calculation of GAAP net income and GAAP diluted EPS cannot be calculated or predicted at this time without unreasonable efforts. ODDITY is unable to address the probable significance of the unavailable reconciling items, which could have a potentially unpredictable, and potentially significant, impact on its future 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outlook figures presented above are forward-looking statements that are subject to a variety of assumptions and estimates. Actual results may differ materially from ODDITY’s financial outlook as a result of, among other things, the factors described under “Forward-Looking Statements”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conference call to discuss ODDITY’s Q3 2025 financial and business results and outlook is scheduled for tomorrow, November 20, 2025, at 8:30 a.m. ET. To participate, please dial 1-877-407-9208 (US) or 1-201-493-6784 (international). To access the call, please reference the company name and call title: ODDITY Third Quarter 2025 Earnings Call. A webcast of the call will be accessible on the Investors section of ODDITY’s website at https://investors.oddity.com. A recording will be available shortly after the conclusion of the call. To access the replay, please dial 1-844-512-2921 (US) or 1-412-317-6671 (international). The access code for the replay is 13755969. An archive of the webcast will be available on the Investors section of ODDITY’s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GAAP financial measures set forth in this press release, ODDITY has included the following non-GAAP financial measures: Adjusted EBITDA, Adjusted EBITDA margin, Adjusted net income, Adjusted net income margin, Adjusted diluted EPS and free cash flow. ODDITY believes these non-GAAP financial measures provide useful supplemental information to management and investors to help evaluate ODDITY’s business, measure its performance, identify trends, prepare financial projections and make business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defines “Adjusted EBITDA” as net income before financial income, net, taxes on income, and depreciation and amortization as further adjusted to exclude share-based compensation expense and non-recurring items. “Adjusted EBITDA margin” is defined as Adjusted EBITDA divided by net revenue. ODDITY believes Adjusted EBITDA and Adjusted EBITDA margin are useful for financial and operational decision-making and as a means to evaluate period-to-period comparisons. By excluding certain items that may not be indicative of its recurring core operating results, ODDITY believes that Adjusted EBITDA and Adjusted EBITDA margin provide meaningful supplemental information regarding its performance. In addition, Adjusted EBITDA and Adjusted EBITDA margin are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defines “Adjusted net income” as net income adjusted for the impact of share-based compensation, non-recurring items, one-time tax gains/losses and the tax effect of non-GAAP adjustments and “Adjusted net income margin” as Adjusted net income divided by net revenue. In addition, ODDITY defines “Adjusted diluted earnings per share” as Adjusted net income divided by diluted shares outstanding. ODDITY believes the presentations of Adjusted net income, Adjusted net income margin, and Adjusted diluted earnings per share are useful because they are frequently used by analysts, investors and other interested parties to evaluate companies in our industry. Further, ODDITY believes these measures are helpful in highlighting trends in our operating results, because they exclude the impact of items that are outside the control of management or not reflective of our ongoing operations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defines “free cash flow” as net cash provided by operating activities less purchase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ODDITY’s non-GAAP financial measures should be considered in addition to, not as a substitute for or in isolation from, its financial results prepared in accordance with U.S. GAAP. Other companies, including companies in our industry, may calculate these measures differently or not at all, which reduces their usefulness as comparative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non-GAAP financial measures to the most directly comparable GAAP measures are included with the financial tables at the end of this release under the heading “Reconciliations of GAAP to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 some cases, these forward-looking statements can be identified by words or phrases such as “aim,” “anticipate,” “believe,” “contemplate,” “continue,” “could,” “estimate,” “expect,” “goal,” “intend,” “may,” “objective,” “plan,” “potential,” “predict,” “project,” “shall,” “should,” “target,” “will,” “seek,” or similar words. The absence of these words does not mean that a statement is not forward-looking. These forward-looking statements address various matters, including ODDITY’s business strategy, market opportunity, ability to deliver superior products and experiences, potential long-term success and ODDITY’s outlook for the fourth quarter 2025 and the full year ending December 31, 2025.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maintain the value of our brands; our ability to anticipate and respond to market trends and changes in consumer preferences; our ability to attract new customers, retain existing customers and maintain or increase sales to those customers; our ability to maintain a strong base of engaged customers and content creators; the loss of suppliers or shortages or disruptions in the supply of raw materials or finished products; our ability to accurately forecast customer demand, manage our inventory, and plan for future expenses; our future rate of growth; competition; the fluctuating cost of raw materials; the illegal distribution and sale by third parties of counterfeit versions of our products or the unauthorized diversion by third parties of our products; changes in, or disruptions to, our shipping arrangements; our ability to manage our growth effectively; a general economic downturn or sudden disruption in business conditions; our ability to successfully introduce and effectively market new brands, or develop and introduce new, innovative, and updated products; foreign currency fluctuations; product returns; our ability to execute on our business strategy; our ability to maintain a high level of customer satisfaction; our ability to comply with and adapt to changes in laws and regulatory requirements applicable to our business, including with respect to regulation of the internet and e-commerce, evolving AI-technology related laws, tax laws, the anti-corruption, trade compliance, anti-money laundering, and terror finance and economic sanctions laws and regulations, consumer protection laws, and data privacy and security laws; failure of our products to comply with quality standards and risks related to product liability claims; trade restrictions; existing and potential tariffs; any data breach or other security incident of our information technology systems, or those of our third-party service providers or cyberattacks; risks related to online transactions and payment methods; any failure to obtain, maintain, protect, defend, or enforce our intellectual property rights; conditions in Israel and the Middle East generally, including as a result of geopolitical conflict; the concentration of our voting power as a result of our dual class structure; our status as a foreign private issuer; and other risk factors set forth in the section titled “Risk Factors” in our Annual Report on Form 20-F filed with the Securities and Exchange Commission on February 25, 2025,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Except as required by applicable law, we undertake no obligation to update or revise publicly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ODDITY: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is a consumer tech company that builds and scales digital-first brands to disrupt the offline-dominated beauty and wellness industries. The company serves approximately 60 million users with its AI-driven online platform, deploying data science to identify consumer needs, and developing solutions in the form of beauty and wellness products. ODDITY owns IL MAKIAGE, SpoiledChild and METHODIQ. The company operates with business headquarters in New York City, an R&amp;D center in Tel Aviv, Israel, and a biotechnology lab in Boston.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press@oddity.com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investors@oddity.com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STATEMENTS OF INCOME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665"/>
        <w:gridCol w:w="60"/>
        <w:gridCol w:w="208"/>
        <w:gridCol w:w="1161"/>
        <w:gridCol w:w="133"/>
        <w:gridCol w:w="100"/>
        <w:gridCol w:w="208"/>
        <w:gridCol w:w="1161"/>
        <w:gridCol w:w="80"/>
        <w:gridCol w:w="60"/>
        <w:gridCol w:w="200"/>
        <w:gridCol w:w="1114"/>
        <w:gridCol w:w="128"/>
        <w:gridCol w:w="96"/>
        <w:gridCol w:w="200"/>
        <w:gridCol w:w="1114"/>
        <w:gridCol w:w="9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1" w:type="dxa"/>
            <w:gridSpan w:val="6"/>
            <w:tcBorders>
              <w:bottom w:val="single" w:sz="8" w:space="0" w:color="000000"/>
            </w:tcBorders>
            <w:tcMar>
              <w:bottom w:w="28" w:type="dxa"/>
            </w:tcMar>
            <w:vAlign w:val="center"/>
          </w:tcPr>
          <w:p>
            <w:pPr>
              <w:pStyle w:val="TableContents"/>
              <w:bidi w:val="0"/>
              <w:spacing w:before="0" w:after="283"/>
              <w:jc w:val="left"/>
              <w:rPr>
                <w:b/>
                <w:sz w:val="20"/>
              </w:rPr>
            </w:pPr>
            <w:r>
              <w:rPr>
                <w:b/>
                <w:sz w:val="20"/>
              </w:rPr>
              <w:t>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2" w:type="dxa"/>
            <w:gridSpan w:val="6"/>
            <w:tcBorders>
              <w:bottom w:val="single" w:sz="8" w:space="0" w:color="000000"/>
            </w:tcBorders>
            <w:tcMar>
              <w:bottom w:w="28" w:type="dxa"/>
            </w:tcMar>
            <w:vAlign w:val="center"/>
          </w:tcPr>
          <w:p>
            <w:pPr>
              <w:pStyle w:val="TableContents"/>
              <w:bidi w:val="0"/>
              <w:spacing w:before="0" w:after="283"/>
              <w:jc w:val="left"/>
              <w:rPr>
                <w:b/>
                <w:sz w:val="20"/>
              </w:rPr>
            </w:pPr>
            <w:r>
              <w:rPr>
                <w:b/>
                <w:sz w:val="20"/>
              </w:rPr>
              <w:t>Nine months ended September 30,</w:t>
            </w:r>
          </w:p>
        </w:tc>
        <w:tc>
          <w:tcPr>
            <w:tcW w:w="9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31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63"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147,902</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657,118</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523,400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42,016</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176,032</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105,886</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481,086</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378,435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88,526</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363,967</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266,878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117,119</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(11,340</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taxes 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128,459</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23,598</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17,745</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104,861</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57,335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56,725</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62,659</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61,777</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3365"/>
        <w:gridCol w:w="60"/>
        <w:gridCol w:w="156"/>
        <w:gridCol w:w="1063"/>
        <w:gridCol w:w="60"/>
        <w:gridCol w:w="60"/>
        <w:gridCol w:w="178"/>
        <w:gridCol w:w="99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591,995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152,808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3"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438,882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6568" w:type="dxa"/>
        <w:jc w:val="left"/>
        <w:tblInd w:w="0" w:type="dxa"/>
        <w:tblLayout w:type="fixed"/>
        <w:tblCellMar>
          <w:top w:w="0" w:type="dxa"/>
          <w:left w:w="0" w:type="dxa"/>
          <w:bottom w:w="0" w:type="dxa"/>
          <w:right w:w="0" w:type="dxa"/>
        </w:tblCellMar>
      </w:tblPr>
      <w:tblGrid>
        <w:gridCol w:w="3920"/>
        <w:gridCol w:w="60"/>
        <w:gridCol w:w="156"/>
        <w:gridCol w:w="1063"/>
        <w:gridCol w:w="60"/>
        <w:gridCol w:w="60"/>
        <w:gridCol w:w="178"/>
        <w:gridCol w:w="996"/>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Exchangeable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583,497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3"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438,882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STATEMENTS OF CASH FLOW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7100"/>
        <w:gridCol w:w="60"/>
        <w:gridCol w:w="125"/>
        <w:gridCol w:w="695"/>
        <w:gridCol w:w="80"/>
        <w:gridCol w:w="60"/>
        <w:gridCol w:w="125"/>
        <w:gridCol w:w="695"/>
        <w:gridCol w:w="95"/>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Nine months ended </w:t>
              <w:br/>
              <w:t>September 30,</w:t>
            </w:r>
          </w:p>
        </w:tc>
        <w:tc>
          <w:tcPr>
            <w:tcW w:w="95"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prepaid expenses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other accounts payable and accrued expenses and 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software development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marketable securities,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exchangeable notes,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capped calls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531,844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fluctuations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541,725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STATEMENTS OF CASH FLOW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9024" w:type="dxa"/>
        <w:jc w:val="left"/>
        <w:tblInd w:w="0" w:type="dxa"/>
        <w:tblLayout w:type="fixed"/>
        <w:tblCellMar>
          <w:top w:w="0" w:type="dxa"/>
          <w:left w:w="0" w:type="dxa"/>
          <w:bottom w:w="0" w:type="dxa"/>
          <w:right w:w="0" w:type="dxa"/>
        </w:tblCellMar>
      </w:tblPr>
      <w:tblGrid>
        <w:gridCol w:w="7265"/>
        <w:gridCol w:w="60"/>
        <w:gridCol w:w="256"/>
        <w:gridCol w:w="686"/>
        <w:gridCol w:w="121"/>
        <w:gridCol w:w="121"/>
        <w:gridCol w:w="266"/>
        <w:gridCol w:w="174"/>
        <w:gridCol w:w="75"/>
      </w:tblGrid>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w:t>
              <w:br/>
              <w:t>September 30,</w:t>
            </w:r>
          </w:p>
        </w:tc>
        <w:tc>
          <w:tcPr>
            <w:tcW w:w="7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2"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disclosures of non-cash investing and financing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costs of exchangeable note and purchase of capped call accrued but not yet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GAAP to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533" w:type="dxa"/>
        <w:jc w:val="left"/>
        <w:tblInd w:w="0" w:type="dxa"/>
        <w:tblLayout w:type="fixed"/>
        <w:tblCellMar>
          <w:top w:w="0" w:type="dxa"/>
          <w:left w:w="0" w:type="dxa"/>
          <w:bottom w:w="0" w:type="dxa"/>
          <w:right w:w="0" w:type="dxa"/>
        </w:tblCellMar>
      </w:tblPr>
      <w:tblGrid>
        <w:gridCol w:w="4625"/>
        <w:gridCol w:w="60"/>
        <w:gridCol w:w="146"/>
        <w:gridCol w:w="689"/>
        <w:gridCol w:w="93"/>
        <w:gridCol w:w="70"/>
        <w:gridCol w:w="146"/>
        <w:gridCol w:w="689"/>
        <w:gridCol w:w="80"/>
        <w:gridCol w:w="60"/>
        <w:gridCol w:w="125"/>
        <w:gridCol w:w="695"/>
        <w:gridCol w:w="80"/>
        <w:gridCol w:w="60"/>
        <w:gridCol w:w="125"/>
        <w:gridCol w:w="695"/>
        <w:gridCol w:w="9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Nine Months Ended </w:t>
              <w:br/>
              <w:t>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3"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and Adjusted EBITDA</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28,914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150,834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135,283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b/>
                <w:sz w:val="20"/>
              </w:rPr>
            </w:pPr>
            <w:r>
              <w:rPr>
                <w:b/>
                <w:sz w:val="20"/>
              </w:rPr>
              <w:t>Reconciliation of Net Income and Adjusted Net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8,881</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adjustments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123,857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diluted 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0.40</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tax impact of (a) the reconciling items above and (b) other discrete tax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net cash provided by operating activities to free cash flow</w:t>
      </w:r>
    </w:p>
    <w:p>
      <w:pPr>
        <w:pStyle w:val="TextBody"/>
        <w:bidi w:val="0"/>
        <w:spacing w:before="0" w:after="0"/>
        <w:ind w:left="0" w:right="0" w:hanging="0"/>
        <w:jc w:val="left"/>
        <w:rPr>
          <w:caps w:val="false"/>
          <w:smallCaps w:val="false"/>
        </w:rPr>
      </w:pPr>
      <w:r>
        <w:rPr>
          <w:caps w:val="false"/>
          <w:smallCaps w:val="false"/>
        </w:rPr>
        <w:t> </w:t>
      </w:r>
    </w:p>
    <w:tbl>
      <w:tblPr>
        <w:tblW w:w="4826" w:type="dxa"/>
        <w:jc w:val="left"/>
        <w:tblInd w:w="0" w:type="dxa"/>
        <w:tblLayout w:type="fixed"/>
        <w:tblCellMar>
          <w:top w:w="0" w:type="dxa"/>
          <w:left w:w="0" w:type="dxa"/>
          <w:bottom w:w="0" w:type="dxa"/>
          <w:right w:w="0" w:type="dxa"/>
        </w:tblCellMar>
      </w:tblPr>
      <w:tblGrid>
        <w:gridCol w:w="2960"/>
        <w:gridCol w:w="60"/>
        <w:gridCol w:w="127"/>
        <w:gridCol w:w="604"/>
        <w:gridCol w:w="81"/>
        <w:gridCol w:w="61"/>
        <w:gridCol w:w="127"/>
        <w:gridCol w:w="711"/>
        <w:gridCol w:w="9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Nine Months Ended </w:t>
              <w:br/>
              <w:t>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4"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89,577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1"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119,201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ODDITY TECH LTD.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Supplemental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cash equivalents, and investments</w:t>
      </w:r>
    </w:p>
    <w:p>
      <w:pPr>
        <w:pStyle w:val="TextBody"/>
        <w:bidi w:val="0"/>
        <w:spacing w:before="0" w:after="0"/>
        <w:ind w:left="0" w:right="0" w:hanging="0"/>
        <w:jc w:val="left"/>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3155"/>
        <w:gridCol w:w="60"/>
        <w:gridCol w:w="185"/>
        <w:gridCol w:w="1034"/>
        <w:gridCol w:w="60"/>
        <w:gridCol w:w="60"/>
        <w:gridCol w:w="178"/>
        <w:gridCol w:w="996"/>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and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4"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792,596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6"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169,058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revenue by sales channel</w:t>
      </w:r>
    </w:p>
    <w:p>
      <w:pPr>
        <w:pStyle w:val="TextBody"/>
        <w:bidi w:val="0"/>
        <w:spacing w:before="0" w:after="0"/>
        <w:ind w:left="720" w:right="0" w:hanging="720"/>
        <w:jc w:val="left"/>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3215"/>
        <w:gridCol w:w="60"/>
        <w:gridCol w:w="125"/>
        <w:gridCol w:w="695"/>
        <w:gridCol w:w="185"/>
        <w:gridCol w:w="60"/>
        <w:gridCol w:w="125"/>
        <w:gridCol w:w="695"/>
        <w:gridCol w:w="185"/>
        <w:gridCol w:w="60"/>
        <w:gridCol w:w="125"/>
        <w:gridCol w:w="695"/>
        <w:gridCol w:w="185"/>
        <w:gridCol w:w="60"/>
        <w:gridCol w:w="125"/>
        <w:gridCol w:w="695"/>
        <w:gridCol w:w="20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September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Nine Months Ended </w:t>
              <w:br/>
              <w:t>September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direct-to-consumer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110,186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636,672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495,236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 of 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i/>
                <w:sz w:val="20"/>
              </w:rPr>
            </w:pPr>
            <w:r>
              <w:rPr>
                <w:i/>
                <w:sz w:val="20"/>
              </w:rPr>
              <w:t>95</w:t>
            </w:r>
          </w:p>
        </w:tc>
        <w:tc>
          <w:tcPr>
            <w:tcW w:w="185" w:type="dxa"/>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i/>
                <w:sz w:val="20"/>
              </w:rPr>
            </w:pPr>
            <w:r>
              <w:rPr>
                <w:i/>
                <w:sz w:val="20"/>
              </w:rPr>
              <w:t>93</w:t>
            </w:r>
          </w:p>
        </w:tc>
        <w:tc>
          <w:tcPr>
            <w:tcW w:w="185" w:type="dxa"/>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i/>
                <w:sz w:val="20"/>
              </w:rPr>
            </w:pPr>
            <w:r>
              <w:rPr>
                <w:i/>
                <w:sz w:val="20"/>
              </w:rPr>
              <w:t>97</w:t>
            </w:r>
          </w:p>
        </w:tc>
        <w:tc>
          <w:tcPr>
            <w:tcW w:w="185" w:type="dxa"/>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i/>
                <w:sz w:val="20"/>
              </w:rPr>
            </w:pPr>
            <w:r>
              <w:rPr>
                <w:i/>
                <w:sz w:val="20"/>
              </w:rPr>
              <w:t>95</w:t>
            </w:r>
          </w:p>
        </w:tc>
        <w:tc>
          <w:tcPr>
            <w:tcW w:w="200" w:type="dxa"/>
            <w:tcBorders/>
            <w:shd w:fill="FFFFFF" w:val="clear"/>
            <w:vAlign w:val="center"/>
          </w:tcPr>
          <w:p>
            <w:pPr>
              <w:pStyle w:val="TableContents"/>
              <w:bidi w:val="0"/>
              <w:spacing w:before="0" w:after="283"/>
              <w:jc w:val="left"/>
              <w:rPr>
                <w:i/>
                <w:sz w:val="20"/>
              </w:rPr>
            </w:pPr>
            <w:r>
              <w:rPr>
                <w:i/>
                <w:sz w:val="20"/>
              </w:rPr>
              <w:t>%</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(Israel retail, marketing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Percent of net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i/>
                <w:sz w:val="20"/>
              </w:rPr>
            </w:pPr>
            <w:r>
              <w:rPr>
                <w:i/>
                <w:sz w:val="20"/>
              </w:rPr>
              <w:t>5</w:t>
            </w:r>
          </w:p>
        </w:tc>
        <w:tc>
          <w:tcPr>
            <w:tcW w:w="185" w:type="dxa"/>
            <w:tcBorders/>
            <w:shd w:fill="CCEEFF" w:val="clear"/>
            <w:vAlign w:val="center"/>
          </w:tcPr>
          <w:p>
            <w:pPr>
              <w:pStyle w:val="TableContents"/>
              <w:bidi w:val="0"/>
              <w:spacing w:before="0" w:after="283"/>
              <w:jc w:val="left"/>
              <w:rPr>
                <w:i/>
                <w:sz w:val="20"/>
              </w:rPr>
            </w:pPr>
            <w:r>
              <w:rPr>
                <w:i/>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i/>
                <w:sz w:val="20"/>
              </w:rPr>
            </w:pPr>
            <w:r>
              <w:rPr>
                <w:i/>
                <w:sz w:val="20"/>
              </w:rPr>
              <w:t>7</w:t>
            </w:r>
          </w:p>
        </w:tc>
        <w:tc>
          <w:tcPr>
            <w:tcW w:w="185" w:type="dxa"/>
            <w:tcBorders/>
            <w:shd w:fill="CCEEFF" w:val="clear"/>
            <w:vAlign w:val="center"/>
          </w:tcPr>
          <w:p>
            <w:pPr>
              <w:pStyle w:val="TableContents"/>
              <w:bidi w:val="0"/>
              <w:spacing w:before="0" w:after="283"/>
              <w:jc w:val="left"/>
              <w:rPr>
                <w:i/>
                <w:sz w:val="20"/>
              </w:rPr>
            </w:pPr>
            <w:r>
              <w:rPr>
                <w:i/>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i/>
                <w:sz w:val="20"/>
              </w:rPr>
            </w:pPr>
            <w:r>
              <w:rPr>
                <w:i/>
                <w:sz w:val="20"/>
              </w:rPr>
              <w:t>3</w:t>
            </w:r>
          </w:p>
        </w:tc>
        <w:tc>
          <w:tcPr>
            <w:tcW w:w="185" w:type="dxa"/>
            <w:tcBorders/>
            <w:shd w:fill="CCEEFF" w:val="clear"/>
            <w:vAlign w:val="center"/>
          </w:tcPr>
          <w:p>
            <w:pPr>
              <w:pStyle w:val="TableContents"/>
              <w:bidi w:val="0"/>
              <w:spacing w:before="0" w:after="283"/>
              <w:jc w:val="left"/>
              <w:rPr>
                <w:i/>
                <w:sz w:val="20"/>
              </w:rPr>
            </w:pPr>
            <w:r>
              <w:rPr>
                <w:i/>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i/>
                <w:sz w:val="20"/>
              </w:rPr>
            </w:pPr>
            <w:r>
              <w:rPr>
                <w:i/>
                <w:sz w:val="20"/>
              </w:rPr>
              <w:t>5</w:t>
            </w:r>
          </w:p>
        </w:tc>
        <w:tc>
          <w:tcPr>
            <w:tcW w:w="200" w:type="dxa"/>
            <w:tcBorders/>
            <w:shd w:fill="CCEEFF" w:val="clear"/>
            <w:vAlign w:val="center"/>
          </w:tcPr>
          <w:p>
            <w:pPr>
              <w:pStyle w:val="TableContents"/>
              <w:bidi w:val="0"/>
              <w:spacing w:before="0" w:after="283"/>
              <w:jc w:val="left"/>
              <w:rPr>
                <w:i/>
                <w:sz w:val="20"/>
              </w:rPr>
            </w:pPr>
            <w:r>
              <w:rPr>
                <w:i/>
                <w:sz w:val="20"/>
              </w:rPr>
              <w:t>%</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147,902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118,998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657,118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523,400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ODDITY does not sell to resellers or distributors. Online direct-to-consumer revenues are generated directly by ODDITY through its online platform only (i.e. ILMAKIAGE.com, SpoiledChild.com, and METHODIQ). All revenue in Israel, including revenue generated in stores, online, and from beauty academies, is included in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3780</Words>
  <Characters>21174</Characters>
  <CharactersWithSpaces>25611</CharactersWithSpaces>
  <Paragraphs>2107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