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4975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5225"/>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Drucker Mann Lindsay</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 GREENE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Oddity Tech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ODD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2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10/31/2026</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7"/>
          <w:szCs w:val="17"/>
          <w:color w:val="0000FF"/>
        </w:rPr>
        <w:t>Global Chief Financial Officer</w:t>
      </w:r>
    </w:p>
    <w:p>
      <w:pPr>
        <w:spacing w:after="0" w:line="316"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1"/>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10/31/2026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23,930</w:t>
            </w:r>
          </w:p>
        </w:tc>
        <w:tc>
          <w:tcPr>
            <w:tcW w:w="4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151,778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11/02/2026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88"/>
              </w:rPr>
              <w:t>22,423</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129,355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2"/>
          </w:tcPr>
          <w:p>
            <w:pPr>
              <w:jc w:val="center"/>
              <w:ind w:left="4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23,930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10/31/2026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23,930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670,018</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Class A ordinary shares withheld to satisfy statutory tax withholding obligations incurred upon the vesting of Restricted Stock Units ("RSUs").</w:t>
      </w:r>
    </w:p>
    <w:p>
      <w:pPr>
        <w:spacing w:after="0" w:line="45" w:lineRule="exact"/>
        <w:rPr>
          <w:rFonts w:ascii="Times New Roman" w:cs="Times New Roman" w:eastAsia="Times New Roman" w:hAnsi="Times New Roman"/>
          <w:sz w:val="13"/>
          <w:szCs w:val="13"/>
          <w:color w:val="008000"/>
        </w:rPr>
      </w:pPr>
    </w:p>
    <w:p>
      <w:pPr>
        <w:ind w:left="40" w:right="5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Class A ordinary shares on a one-for-one basis. Eight installments of the award have vested, and the remainder will vest in approximately equal installments on the last day of every calendar month, with the last installment to vest on February 28, 2029.</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Sarit Rosenberg,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252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Lindsay Drucker</w:t>
      </w:r>
      <w:r>
        <w:rPr>
          <w:sz w:val="20"/>
          <w:szCs w:val="20"/>
          <w:color w:val="auto"/>
        </w:rPr>
        <w:tab/>
      </w:r>
      <w:r>
        <w:rPr>
          <w:rFonts w:ascii="Times New Roman" w:cs="Times New Roman" w:eastAsia="Times New Roman" w:hAnsi="Times New Roman"/>
          <w:sz w:val="16"/>
          <w:szCs w:val="16"/>
          <w:color w:val="0000FF"/>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249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955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127" TargetMode="External"/><Relationship Id="rId14" Type="http://schemas.openxmlformats.org/officeDocument/2006/relationships/hyperlink" Target="http://www.sec.gov/cgi-bin/browse-edgar?action=getcompany&amp;CIK=0001907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2026-11-03T16:39:33Z</dcterms:created>
  <dcterms:modified xsi:type="dcterms:W3CDTF">2026-11-03T16:39:33Z</dcterms:modified>
</cp:coreProperties>
</file>